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2640EA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2640EA" w:rsidRDefault="002640EA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2640EA" w:rsidRPr="002640EA" w:rsidRDefault="002640E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PENAL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2640EA" w:rsidRDefault="002640EA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2640EA" w:rsidRPr="002640EA" w:rsidRDefault="002640E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NOVENO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2640EA">
              <w:rPr>
                <w:rFonts w:ascii="Arial" w:hAnsi="Arial" w:cs="Arial"/>
                <w:b/>
                <w:color w:val="0F243E" w:themeColor="text2" w:themeShade="80"/>
              </w:rPr>
              <w:t>PRUEBAS PENALES Y CRIMINALISTICA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2640EA">
              <w:rPr>
                <w:rFonts w:ascii="Arial" w:hAnsi="Arial" w:cs="Arial"/>
                <w:b/>
                <w:color w:val="0F243E" w:themeColor="text2" w:themeShade="80"/>
              </w:rPr>
              <w:t xml:space="preserve"> 21077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2640EA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2640E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30.I.2015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2640EA" w:rsidRDefault="002640E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2640EA" w:rsidRDefault="002640E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30.I.2015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 xml:space="preserve">   5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 xml:space="preserve"> 20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1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Total Horas Semestre: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 xml:space="preserve"> 80</w:t>
            </w: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3"/>
        <w:gridCol w:w="2677"/>
        <w:gridCol w:w="392"/>
        <w:gridCol w:w="3102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 xml:space="preserve"> 5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20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80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 xml:space="preserve"> 160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2640EA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B7110" w:rsidRDefault="001B7110" w:rsidP="001B7110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La asignatura se enfoca en </w:t>
            </w:r>
            <w:r w:rsidR="000A3959">
              <w:rPr>
                <w:rFonts w:ascii="Arial" w:hAnsi="Arial"/>
              </w:rPr>
              <w:t xml:space="preserve">el estudio de </w:t>
            </w:r>
            <w:r>
              <w:rPr>
                <w:rFonts w:ascii="Arial" w:hAnsi="Arial"/>
              </w:rPr>
              <w:t>la construcción de las pruebas</w:t>
            </w:r>
            <w:r w:rsidR="000A3959">
              <w:rPr>
                <w:rFonts w:ascii="Arial" w:hAnsi="Arial"/>
              </w:rPr>
              <w:t xml:space="preserve"> </w:t>
            </w:r>
            <w:r w:rsidR="00B4204A">
              <w:rPr>
                <w:rFonts w:ascii="Arial" w:hAnsi="Arial"/>
              </w:rPr>
              <w:t xml:space="preserve">penales, desde la indagación, investigación </w:t>
            </w:r>
            <w:r>
              <w:rPr>
                <w:rFonts w:ascii="Arial" w:hAnsi="Arial"/>
              </w:rPr>
              <w:t xml:space="preserve"> y la posterior introducción al juicio oral. La importancia, y excepcionalidad de las pruebas sobrevinientes, las pruebas de referencia, y la prueba anticipada</w:t>
            </w:r>
            <w:r w:rsidR="000A3959">
              <w:rPr>
                <w:rFonts w:ascii="Arial" w:hAnsi="Arial"/>
              </w:rPr>
              <w:t>, así como, el deber de demostrar con medios de conocimientos la afectación derechos fundamentales a través de las audiencias preliminares</w:t>
            </w:r>
            <w:r>
              <w:rPr>
                <w:rFonts w:ascii="Arial" w:hAnsi="Arial"/>
              </w:rPr>
              <w:t xml:space="preserve">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B7110" w:rsidRDefault="001B7110" w:rsidP="001B71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Comprender las formas de conocimiento admisibles en el sistema procesal penal.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A20362" w:rsidRDefault="00A20362" w:rsidP="001B7110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A20362" w:rsidRDefault="00A20362" w:rsidP="00A2036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Ilustrar a los estudiantes  respecto  a los medios de prueba conducentes en el sistema Procesal Penal Acusatorio, para que con base en ello puedan atendiendo a la planeación de la investigación, propender por la consecución del medio probatorio idóneo, atendiendo a la hipótesis del caso específico. </w:t>
            </w:r>
          </w:p>
          <w:p w:rsidR="009D3B04" w:rsidRDefault="009D3B04" w:rsidP="001B7110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A20362" w:rsidRDefault="00A20362" w:rsidP="00A20362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Lograr que los estudiantes  a través de</w:t>
            </w:r>
            <w:r>
              <w:rPr>
                <w:rFonts w:ascii="Arial" w:hAnsi="Arial"/>
              </w:rPr>
              <w:t xml:space="preserve">l estudio de los medios de conocimiento, puedan a futuro llevar al juez al convencimiento de la duda razonable, para absolver. O más allá de la duda razonable, para condenar. Pasando por la experiencia de los medios de conocimiento para aceptar cargos, negociar con la fiscalía o preacordar. Así como el medio de prueba necesarios para las audiencias preliminares, y las formas anormales de terminación del proceso. </w:t>
            </w:r>
          </w:p>
          <w:p w:rsidR="009D3B04" w:rsidRDefault="009D3B04" w:rsidP="00A2036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Las competencias básicas son aquellas que permiten poner el acento en aquellos aprendizajes que se consideran imprescindibles.</w:t>
            </w:r>
          </w:p>
          <w:p w:rsidR="009D3B04" w:rsidRPr="00EA3F72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8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Son las que están orientadas a habilitar a una  persona para desarrollar funciones productivas propias de una ocupación o funciones comunes a un conjunto de ocupaciones.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otorgan los elementos teóricos, conceptuales para abordar y apropiarse del desarrollo de un proyecto.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1B7110" w:rsidRDefault="001B7110" w:rsidP="001B71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estudiante al conocer la formación de las pruebas, y la básica importancia dentro de la construcción del sistema penal, asume la capacidad de plantear los medios probatorios para sustentar una teoría del caso. A la par que está en capacidad de ejercer la contradicción frente a los medios de conocimiento presentados por las partes contrarias. </w:t>
            </w:r>
          </w:p>
          <w:p w:rsidR="001B7110" w:rsidRDefault="001B7110" w:rsidP="001B7110">
            <w:pPr>
              <w:jc w:val="both"/>
              <w:rPr>
                <w:rFonts w:ascii="Arial" w:hAnsi="Arial" w:cs="Arial"/>
              </w:rPr>
            </w:pPr>
          </w:p>
          <w:p w:rsidR="001B7110" w:rsidRDefault="001B7110" w:rsidP="001B71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capacidad argumentativa a través de los medios probatorios, es la principal de las competencias que se busca atribuir a los estudiantes. Puesto que lo no probado, no existe jurídicamente. </w:t>
            </w:r>
          </w:p>
          <w:p w:rsidR="001B7110" w:rsidRDefault="001B7110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B4204A" w:rsidRDefault="001B711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D3B04" w:rsidRDefault="00B4204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Ninguna disciplina se excluye, sin embargo se hará énfasis </w:t>
            </w:r>
            <w:r w:rsidR="001B7110">
              <w:rPr>
                <w:rFonts w:ascii="Arial" w:hAnsi="Arial" w:cs="Arial"/>
                <w:color w:val="0F243E" w:themeColor="text2" w:themeShade="80"/>
              </w:rPr>
              <w:t xml:space="preserve"> en las inherentes al manejo forense</w:t>
            </w:r>
            <w:r>
              <w:rPr>
                <w:rFonts w:ascii="Arial" w:hAnsi="Arial" w:cs="Arial"/>
                <w:color w:val="0F243E" w:themeColor="text2" w:themeShade="80"/>
              </w:rPr>
              <w:t>; experticias conducentes al esclarecimiento de los hechos objeto de estudio a la luz del acto criminal</w:t>
            </w:r>
            <w:r w:rsidR="001B7110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9D3B0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B4204A" w:rsidRDefault="00B4204A" w:rsidP="00B4204A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La concepción de un sistema procesal penal de corte acusatorio, exige la comprensión de las pruebas penales,  en los sistemas que son diversos al mismo, para entrar a criticar jurídicamente, la pertinencia del sistema, desde las garantías penales, a partir de l</w:t>
            </w:r>
            <w:r w:rsidR="004357C4">
              <w:rPr>
                <w:rFonts w:ascii="Arial" w:hAnsi="Arial"/>
              </w:rPr>
              <w:t>a realidad de aplicación en la N</w:t>
            </w:r>
            <w:r>
              <w:rPr>
                <w:rFonts w:ascii="Arial" w:hAnsi="Arial"/>
              </w:rPr>
              <w:t>ación.</w:t>
            </w:r>
          </w:p>
          <w:p w:rsidR="004357C4" w:rsidRDefault="004357C4" w:rsidP="00B4204A">
            <w:pPr>
              <w:jc w:val="both"/>
              <w:rPr>
                <w:rFonts w:ascii="Arial" w:hAnsi="Arial"/>
              </w:rPr>
            </w:pPr>
          </w:p>
          <w:p w:rsidR="004357C4" w:rsidRDefault="004357C4" w:rsidP="00B4204A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Por lo anterior se impone, en su orden el estudio temático siguiente:</w:t>
            </w:r>
          </w:p>
          <w:p w:rsidR="004357C4" w:rsidRDefault="004357C4" w:rsidP="00B4204A">
            <w:pPr>
              <w:jc w:val="both"/>
              <w:rPr>
                <w:rFonts w:ascii="Arial" w:hAnsi="Arial"/>
              </w:rPr>
            </w:pPr>
          </w:p>
          <w:p w:rsidR="005D002B" w:rsidRDefault="005D002B" w:rsidP="005D002B">
            <w:pPr>
              <w:jc w:val="center"/>
              <w:rPr>
                <w:b/>
                <w:lang w:val="es-MX"/>
              </w:rPr>
            </w:pP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Principios Rectores de la Prueba 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Evidencia Física y Elementos Materiales Probatorios.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Cadena de Custodia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Prueba Testimonial.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Prueba Documental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Prueba Pericial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Descubrimiento de medios de conocimiento en Audiencias preliminares.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Descubrimiento en Audiencia de Acusación y Preparatoria.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Descubrimiento de Evidencias </w:t>
            </w:r>
            <w:r w:rsidR="00DE2F10">
              <w:rPr>
                <w:b/>
                <w:lang w:val="es-MX"/>
              </w:rPr>
              <w:t>Físicas</w:t>
            </w:r>
            <w:r>
              <w:rPr>
                <w:b/>
                <w:lang w:val="es-MX"/>
              </w:rPr>
              <w:t xml:space="preserve"> y EMP en Audiencia de </w:t>
            </w:r>
            <w:r w:rsidR="00DE2F10">
              <w:rPr>
                <w:b/>
                <w:lang w:val="es-MX"/>
              </w:rPr>
              <w:t>Preclusión</w:t>
            </w:r>
            <w:r>
              <w:rPr>
                <w:b/>
                <w:lang w:val="es-MX"/>
              </w:rPr>
              <w:t>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Estipulaciones Probatorias - Exclusiones Probatorias.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Presentación de Pruebas En la Audiencia de Juicio Oral.</w:t>
            </w: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</w:p>
          <w:p w:rsidR="005D002B" w:rsidRDefault="005D002B" w:rsidP="005D002B">
            <w:pPr>
              <w:jc w:val="both"/>
              <w:rPr>
                <w:b/>
                <w:lang w:val="es-MX"/>
              </w:rPr>
            </w:pPr>
            <w:r>
              <w:rPr>
                <w:b/>
                <w:lang w:val="es-MX"/>
              </w:rPr>
              <w:t>SEMINARIO: Prueba Pericial y Criminalística.</w:t>
            </w:r>
          </w:p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6109B" w:rsidRDefault="004357C4" w:rsidP="00E610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desarrollaran  utilizando r</w:t>
            </w:r>
            <w:r w:rsidR="00E6109B">
              <w:rPr>
                <w:rFonts w:ascii="Arial" w:hAnsi="Arial" w:cs="Arial"/>
              </w:rPr>
              <w:t>ecurso para la adquisición de la competencia cognoscitiva.</w:t>
            </w:r>
          </w:p>
          <w:p w:rsidR="00E6109B" w:rsidRDefault="00E6109B" w:rsidP="00E610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:rsidR="00E6109B" w:rsidRDefault="00E6109B" w:rsidP="00E610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- Lectura de los textos indicados y de todos aquellos que se le relacionen y amplíen su conocimiento al particular.</w:t>
            </w:r>
          </w:p>
          <w:p w:rsidR="00E6109B" w:rsidRDefault="00E6109B" w:rsidP="00E610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Recursos para reforzar la adquisición  de la competencia interpretativa: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numPr>
                <w:ilvl w:val="0"/>
                <w:numId w:val="44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lectura analítica y crítica de las obras o textos escogidos</w:t>
            </w:r>
          </w:p>
          <w:p w:rsidR="00E6109B" w:rsidRDefault="00E6109B" w:rsidP="00E6109B">
            <w:pPr>
              <w:numPr>
                <w:ilvl w:val="0"/>
                <w:numId w:val="47"/>
              </w:numPr>
              <w:suppressAutoHyphens/>
              <w:ind w:left="36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de comprensión de nuestra realidad</w:t>
            </w:r>
          </w:p>
          <w:p w:rsidR="00E6109B" w:rsidRDefault="00E6109B" w:rsidP="00E6109B">
            <w:pPr>
              <w:jc w:val="both"/>
              <w:rPr>
                <w:rFonts w:ascii="Arial" w:hAnsi="Arial"/>
              </w:rPr>
            </w:pP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valoración de la forma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como los medios de información abordan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los fenómenos sociales.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Recursos para fomentar  la competencia propositiva: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numPr>
                <w:ilvl w:val="0"/>
                <w:numId w:val="46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ensayos  escritos.</w:t>
            </w:r>
          </w:p>
          <w:p w:rsidR="00E6109B" w:rsidRDefault="00E6109B" w:rsidP="00E6109B">
            <w:pPr>
              <w:numPr>
                <w:ilvl w:val="0"/>
                <w:numId w:val="46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debates y discusiones en pro o en contra  de los temas debatidos.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Recursos para fomentar  la competencia  argumentativa: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numPr>
                <w:ilvl w:val="0"/>
                <w:numId w:val="45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Propiciar disertaciones en las cuales se esgriman  fundamentos lógicos.</w:t>
            </w:r>
          </w:p>
          <w:p w:rsidR="00E6109B" w:rsidRDefault="00E6109B" w:rsidP="00E6109B">
            <w:pPr>
              <w:numPr>
                <w:ilvl w:val="0"/>
                <w:numId w:val="45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Fomentar la </w:t>
            </w:r>
            <w:r w:rsidR="00DE2F10">
              <w:rPr>
                <w:rFonts w:ascii="Arial" w:hAnsi="Arial" w:cs="Arial"/>
              </w:rPr>
              <w:t>contra argumentación</w:t>
            </w:r>
            <w:r>
              <w:rPr>
                <w:rFonts w:ascii="Arial" w:hAnsi="Arial" w:cs="Arial"/>
              </w:rPr>
              <w:t xml:space="preserve"> frente a los argumentos planteados por otros.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metodología, </w:t>
            </w:r>
            <w:r w:rsidR="004357C4">
              <w:rPr>
                <w:rFonts w:ascii="Arial" w:hAnsi="Arial" w:cs="Arial"/>
              </w:rPr>
              <w:t xml:space="preserve">comprende </w:t>
            </w:r>
            <w:r>
              <w:rPr>
                <w:rFonts w:ascii="Arial" w:hAnsi="Arial" w:cs="Arial"/>
              </w:rPr>
              <w:t>la cátedra magistral</w:t>
            </w:r>
            <w:r w:rsidR="004357C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 exposiciones basadas en el trabajo independiente del estudiante, guiado a través de las tutorías.</w:t>
            </w: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trabajo en grupo es uno de los principales recursos, se proyecta por medio de las exposiciones, especialmente casos que promueven la discusión y la construcción de un conocimiento colectivo. </w:t>
            </w: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</w:p>
          <w:p w:rsidR="00EB38D2" w:rsidRDefault="00EB38D2" w:rsidP="00EB38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Las exposiciones, son conducentes, como quiera que los  alumnos se </w:t>
            </w:r>
            <w:proofErr w:type="gramStart"/>
            <w:r>
              <w:rPr>
                <w:rFonts w:ascii="Arial" w:hAnsi="Arial" w:cs="Arial"/>
              </w:rPr>
              <w:t>motivan</w:t>
            </w:r>
            <w:proofErr w:type="gramEnd"/>
            <w:r>
              <w:rPr>
                <w:rFonts w:ascii="Arial" w:hAnsi="Arial" w:cs="Arial"/>
              </w:rPr>
              <w:t xml:space="preserve"> a realizarlas, frente a los temas que se deben ir desarrollando en clase, conforme al plan de aula.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  <w:r>
              <w:t>L</w:t>
            </w:r>
            <w:r>
              <w:rPr>
                <w:rFonts w:ascii="Arial" w:hAnsi="Arial" w:cs="Arial"/>
              </w:rPr>
              <w:t>a Evaluación se hace por parte del programa y por lo tanto, se iniciará al comienzo del curso para ser realizada en forma continua, sistemática y operativa, teniendo en cuenta los criterios de análisis, comprensión y asimilación de la materia, además de: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 control permanente para verificar la asimilación de los temas y socialización de los diferentes discursos.</w:t>
            </w: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tendrá como criterio de evaluación la asistencia, la participación, el interés, los conocimientos y habilidades que el estudiante demuestre a través de:</w:t>
            </w: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Investigación individual y en grupo</w:t>
            </w: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Trabajos.</w:t>
            </w: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Exposiciones en clases.</w:t>
            </w:r>
          </w:p>
          <w:p w:rsidR="00E6109B" w:rsidRDefault="00E6109B" w:rsidP="00E6109B">
            <w:pPr>
              <w:numPr>
                <w:ilvl w:val="0"/>
                <w:numId w:val="42"/>
              </w:num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Evaluaciones Escritas y Orales.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E6109B" w:rsidRDefault="00E6109B" w:rsidP="00E6109B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Apreciación Judicial de las Pruebas. Gorphe Francois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Tratado de la prueba judicial. Indicios y Presunciones. Parra Quijano, Jairo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Manual de Derecho Probatorio. Parra Quijano, Jairo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La Prueba Pericial. Pabón Parra, Pedro Alfonso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eastAsia="Calibri" w:hAnsi="Arial" w:cs="Arial"/>
                <w:lang w:val="es-MX"/>
              </w:rPr>
            </w:pPr>
            <w:r>
              <w:rPr>
                <w:rFonts w:ascii="Arial" w:eastAsia="Calibri" w:hAnsi="Arial" w:cs="Arial"/>
                <w:lang w:val="es-MX"/>
              </w:rPr>
              <w:t xml:space="preserve">Teoría General de la Prueba judicial. Editorial ABC, </w:t>
            </w:r>
            <w:r>
              <w:rPr>
                <w:rFonts w:ascii="Arial" w:hAnsi="Arial" w:cs="Arial"/>
                <w:lang w:val="es-MX"/>
              </w:rPr>
              <w:t xml:space="preserve">1995. </w:t>
            </w:r>
            <w:r>
              <w:rPr>
                <w:rFonts w:ascii="Arial" w:eastAsia="Calibri" w:hAnsi="Arial" w:cs="Arial"/>
                <w:lang w:val="es-MX"/>
              </w:rPr>
              <w:t>Devis Echandia, Hernando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Los Principios de las Pruebas Penales. Daza, Álvaro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Derecho Probatorio, Bertel, Álvaro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eastAsia="Calibri" w:hAnsi="Arial" w:cs="Arial"/>
                <w:lang w:val="es-MX"/>
              </w:rPr>
            </w:pPr>
            <w:r>
              <w:rPr>
                <w:rFonts w:ascii="Arial" w:eastAsia="Calibri" w:hAnsi="Arial" w:cs="Arial"/>
                <w:lang w:val="es-MX"/>
              </w:rPr>
              <w:t xml:space="preserve">La evidencia física y la  cadena de custodia en el </w:t>
            </w:r>
            <w:r>
              <w:rPr>
                <w:rFonts w:ascii="Arial" w:hAnsi="Arial" w:cs="Arial"/>
                <w:lang w:val="es-MX"/>
              </w:rPr>
              <w:t xml:space="preserve">procedimiento acusatorio. </w:t>
            </w:r>
            <w:r>
              <w:rPr>
                <w:rFonts w:ascii="Arial" w:eastAsia="Calibri" w:hAnsi="Arial" w:cs="Arial"/>
                <w:lang w:val="es-MX"/>
              </w:rPr>
              <w:t>Mora Izquierdo, Ricardo – Sánchez Dolores.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eastAsia="Calibri" w:hAnsi="Arial" w:cs="Arial"/>
                <w:lang w:val="es-MX"/>
              </w:rPr>
            </w:pPr>
            <w:r>
              <w:rPr>
                <w:rFonts w:ascii="Arial" w:eastAsia="Calibri" w:hAnsi="Arial" w:cs="Arial"/>
                <w:lang w:val="es-MX"/>
              </w:rPr>
              <w:t>Teoría General de la Prueba Judicial.  Consejo Superior de la Judicatura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eastAsia="Calibri" w:hAnsi="Arial" w:cs="Arial"/>
                <w:lang w:val="es-MX"/>
              </w:rPr>
            </w:pPr>
            <w:r>
              <w:rPr>
                <w:rFonts w:ascii="Arial" w:eastAsia="Calibri" w:hAnsi="Arial" w:cs="Arial"/>
                <w:lang w:val="es-MX"/>
              </w:rPr>
              <w:t xml:space="preserve">Los nuevos </w:t>
            </w:r>
            <w:r>
              <w:rPr>
                <w:rFonts w:ascii="Arial" w:hAnsi="Arial" w:cs="Arial"/>
                <w:lang w:val="es-MX"/>
              </w:rPr>
              <w:t xml:space="preserve">fundamentos de las pruebas penales. </w:t>
            </w:r>
            <w:r>
              <w:rPr>
                <w:rFonts w:ascii="Arial" w:eastAsia="Calibri" w:hAnsi="Arial" w:cs="Arial"/>
                <w:lang w:val="es-MX"/>
              </w:rPr>
              <w:t>Consejo Superior de la Judicatura</w:t>
            </w:r>
          </w:p>
          <w:p w:rsidR="00E6109B" w:rsidRDefault="004357C4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Módulo</w:t>
            </w:r>
            <w:r w:rsidR="00E6109B">
              <w:rPr>
                <w:rFonts w:ascii="Arial" w:hAnsi="Arial" w:cs="Arial"/>
                <w:lang w:val="es-MX"/>
              </w:rPr>
              <w:t xml:space="preserve"> IV Para Defensores Públicos. La prueba en el sistema penal acusatorio Colombiano.  Defensoría del Pueblo. 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 xml:space="preserve">La prueba en el proceso Penal Colombiano. Fiscalía General de la Nación. </w:t>
            </w:r>
          </w:p>
          <w:p w:rsidR="00E6109B" w:rsidRDefault="00E6109B" w:rsidP="00E6109B">
            <w:pPr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Tratado de Derecho Probatorio. Publicaciones JTS, Luiggi Abraham – Editor. Chiesa Aponte Ernesto.</w:t>
            </w: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B27" w:rsidRDefault="00467B27">
      <w:r>
        <w:separator/>
      </w:r>
    </w:p>
  </w:endnote>
  <w:endnote w:type="continuationSeparator" w:id="0">
    <w:p w:rsidR="00467B27" w:rsidRDefault="0046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467B2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467B27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DE2F10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DE2F10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B27" w:rsidRDefault="00467B27">
      <w:r>
        <w:separator/>
      </w:r>
    </w:p>
  </w:footnote>
  <w:footnote w:type="continuationSeparator" w:id="0">
    <w:p w:rsidR="00467B27" w:rsidRDefault="00467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467B2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F6366C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F6366C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F6366C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F6366C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467B27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8"/>
    <w:multiLevelType w:val="multilevel"/>
    <w:tmpl w:val="000000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35"/>
  </w:num>
  <w:num w:numId="4">
    <w:abstractNumId w:val="46"/>
  </w:num>
  <w:num w:numId="5">
    <w:abstractNumId w:val="39"/>
  </w:num>
  <w:num w:numId="6">
    <w:abstractNumId w:val="28"/>
  </w:num>
  <w:num w:numId="7">
    <w:abstractNumId w:val="43"/>
  </w:num>
  <w:num w:numId="8">
    <w:abstractNumId w:val="33"/>
  </w:num>
  <w:num w:numId="9">
    <w:abstractNumId w:val="11"/>
  </w:num>
  <w:num w:numId="10">
    <w:abstractNumId w:val="32"/>
  </w:num>
  <w:num w:numId="11">
    <w:abstractNumId w:val="18"/>
  </w:num>
  <w:num w:numId="12">
    <w:abstractNumId w:val="14"/>
  </w:num>
  <w:num w:numId="13">
    <w:abstractNumId w:val="44"/>
  </w:num>
  <w:num w:numId="14">
    <w:abstractNumId w:val="34"/>
  </w:num>
  <w:num w:numId="15">
    <w:abstractNumId w:val="12"/>
  </w:num>
  <w:num w:numId="16">
    <w:abstractNumId w:val="30"/>
  </w:num>
  <w:num w:numId="17">
    <w:abstractNumId w:val="27"/>
  </w:num>
  <w:num w:numId="18">
    <w:abstractNumId w:val="45"/>
  </w:num>
  <w:num w:numId="19">
    <w:abstractNumId w:val="41"/>
  </w:num>
  <w:num w:numId="20">
    <w:abstractNumId w:val="26"/>
  </w:num>
  <w:num w:numId="21">
    <w:abstractNumId w:val="40"/>
  </w:num>
  <w:num w:numId="22">
    <w:abstractNumId w:val="13"/>
  </w:num>
  <w:num w:numId="23">
    <w:abstractNumId w:val="25"/>
  </w:num>
  <w:num w:numId="24">
    <w:abstractNumId w:val="29"/>
  </w:num>
  <w:num w:numId="25">
    <w:abstractNumId w:val="24"/>
  </w:num>
  <w:num w:numId="26">
    <w:abstractNumId w:val="31"/>
  </w:num>
  <w:num w:numId="27">
    <w:abstractNumId w:val="8"/>
  </w:num>
  <w:num w:numId="28">
    <w:abstractNumId w:val="9"/>
  </w:num>
  <w:num w:numId="29">
    <w:abstractNumId w:val="16"/>
  </w:num>
  <w:num w:numId="30">
    <w:abstractNumId w:val="10"/>
  </w:num>
  <w:num w:numId="31">
    <w:abstractNumId w:val="37"/>
  </w:num>
  <w:num w:numId="32">
    <w:abstractNumId w:val="36"/>
  </w:num>
  <w:num w:numId="33">
    <w:abstractNumId w:val="19"/>
  </w:num>
  <w:num w:numId="34">
    <w:abstractNumId w:val="20"/>
  </w:num>
  <w:num w:numId="35">
    <w:abstractNumId w:val="7"/>
  </w:num>
  <w:num w:numId="36">
    <w:abstractNumId w:val="42"/>
  </w:num>
  <w:num w:numId="37">
    <w:abstractNumId w:val="21"/>
  </w:num>
  <w:num w:numId="38">
    <w:abstractNumId w:val="15"/>
  </w:num>
  <w:num w:numId="39">
    <w:abstractNumId w:val="17"/>
  </w:num>
  <w:num w:numId="40">
    <w:abstractNumId w:val="23"/>
  </w:num>
  <w:num w:numId="41">
    <w:abstractNumId w:val="1"/>
  </w:num>
  <w:num w:numId="42">
    <w:abstractNumId w:val="4"/>
  </w:num>
  <w:num w:numId="43">
    <w:abstractNumId w:val="6"/>
  </w:num>
  <w:num w:numId="44">
    <w:abstractNumId w:val="0"/>
  </w:num>
  <w:num w:numId="45">
    <w:abstractNumId w:val="2"/>
  </w:num>
  <w:num w:numId="46">
    <w:abstractNumId w:val="3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A3959"/>
    <w:rsid w:val="000D75E7"/>
    <w:rsid w:val="001045BF"/>
    <w:rsid w:val="001B7110"/>
    <w:rsid w:val="00236726"/>
    <w:rsid w:val="00244DD7"/>
    <w:rsid w:val="002640EA"/>
    <w:rsid w:val="00373F2F"/>
    <w:rsid w:val="004357C4"/>
    <w:rsid w:val="00467B27"/>
    <w:rsid w:val="00480721"/>
    <w:rsid w:val="005275A5"/>
    <w:rsid w:val="005307D9"/>
    <w:rsid w:val="005D002B"/>
    <w:rsid w:val="00623E53"/>
    <w:rsid w:val="00632BC7"/>
    <w:rsid w:val="007B7482"/>
    <w:rsid w:val="00805426"/>
    <w:rsid w:val="009A4483"/>
    <w:rsid w:val="009D3B04"/>
    <w:rsid w:val="00A0083B"/>
    <w:rsid w:val="00A20362"/>
    <w:rsid w:val="00A6507D"/>
    <w:rsid w:val="00A728D1"/>
    <w:rsid w:val="00B3659A"/>
    <w:rsid w:val="00B4204A"/>
    <w:rsid w:val="00B76DA7"/>
    <w:rsid w:val="00CC116E"/>
    <w:rsid w:val="00CD6BED"/>
    <w:rsid w:val="00D15C96"/>
    <w:rsid w:val="00D40E14"/>
    <w:rsid w:val="00D97B5F"/>
    <w:rsid w:val="00DE2F10"/>
    <w:rsid w:val="00E50269"/>
    <w:rsid w:val="00E6109B"/>
    <w:rsid w:val="00EB38D2"/>
    <w:rsid w:val="00F26635"/>
    <w:rsid w:val="00F6366C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148D3-0F2B-4752-B35D-2A214697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1166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dcterms:created xsi:type="dcterms:W3CDTF">2015-08-20T17:32:00Z</dcterms:created>
  <dcterms:modified xsi:type="dcterms:W3CDTF">2015-08-20T17:32:00Z</dcterms:modified>
</cp:coreProperties>
</file>